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591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E642C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E642C1">
        <w:rPr>
          <w:rFonts w:ascii="Cambria" w:hAnsi="Cambria" w:cs="TimesNewRomanPSMT"/>
          <w:sz w:val="16"/>
          <w:szCs w:val="16"/>
          <w:lang w:val="en-US"/>
        </w:rPr>
        <w:t>Complexe Wakf Haï El Kiram</w:t>
      </w:r>
    </w:p>
    <w:p w:rsidR="00E62D87" w:rsidRPr="00E642C1" w:rsidRDefault="000C0591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0C0591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0C0591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E642C1">
        <w:rPr>
          <w:rFonts w:ascii="Cambria" w:hAnsi="Cambria" w:cs="TimesNewRomanPSMT"/>
          <w:sz w:val="16"/>
          <w:szCs w:val="16"/>
          <w:lang w:val="en-US"/>
        </w:rPr>
        <w:t>Rue Abdelkader MEZOUAR</w:t>
      </w:r>
    </w:p>
    <w:p w:rsidR="00E62D87" w:rsidRPr="00930381" w:rsidRDefault="000C0591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 xml:space="preserve">Financial Training &amp; Consulting Company  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Bt 07 Tixerain</w:t>
      </w:r>
      <w:r w:rsidR="00E62D87">
        <w:rPr>
          <w:rFonts w:ascii="Cambria" w:hAnsi="Cambria" w:cs="TimesNewRomanPSMT"/>
          <w:sz w:val="16"/>
          <w:szCs w:val="16"/>
          <w:lang w:val="en-US"/>
        </w:rPr>
        <w:t>,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 xml:space="preserve"> Birkhadem</w:t>
      </w:r>
      <w:r w:rsidR="00E62D87">
        <w:rPr>
          <w:rFonts w:ascii="Cambria" w:hAnsi="Cambria" w:cs="TimesNewRomanPSMT"/>
          <w:sz w:val="16"/>
          <w:szCs w:val="16"/>
          <w:lang w:val="en-US"/>
        </w:rPr>
        <w:t xml:space="preserve">, 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Alger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930381">
        <w:rPr>
          <w:rFonts w:ascii="Cambria" w:hAnsi="Cambria" w:cs="TimesNewRomanPSMT"/>
          <w:sz w:val="16"/>
          <w:szCs w:val="16"/>
          <w:lang w:val="en-US"/>
        </w:rPr>
        <w:t>Tél/Fax : +213 (0) 21 57 00 39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</w:p>
    <w:p w:rsidR="00E62D87" w:rsidRDefault="000C0591" w:rsidP="00E62D87">
      <w:r w:rsidRPr="000C0591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12.8pt;width:333pt;height:150.4pt;z-index:-251655168" strokecolor="#c00000">
            <v:textbox style="mso-next-textbox:#_x0000_s1027">
              <w:txbxContent>
                <w:p w:rsidR="003D56E4" w:rsidRPr="00597635" w:rsidRDefault="003D56E4" w:rsidP="003D5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56E4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Transfert de fonds au titre :</w:t>
                  </w:r>
                </w:p>
                <w:p w:rsidR="003D56E4" w:rsidRPr="003D56E4" w:rsidRDefault="003D56E4" w:rsidP="003D5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  <w:r w:rsidRPr="003D56E4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Des dividendes, revenus, bénéfices, tantièmes</w:t>
                  </w:r>
                  <w:r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,</w:t>
                  </w:r>
                </w:p>
                <w:p w:rsidR="003D56E4" w:rsidRPr="003D56E4" w:rsidRDefault="003D56E4" w:rsidP="003D5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color w:val="FF0000"/>
                      <w:sz w:val="28"/>
                      <w:szCs w:val="28"/>
                    </w:rPr>
                  </w:pPr>
                  <w:r w:rsidRPr="003D56E4">
                    <w:rPr>
                      <w:rFonts w:asciiTheme="majorHAnsi" w:hAnsiTheme="majorHAnsi"/>
                      <w:b/>
                      <w:bCs/>
                      <w:smallCaps/>
                      <w:color w:val="FF0000"/>
                      <w:sz w:val="28"/>
                      <w:szCs w:val="28"/>
                    </w:rPr>
                    <w:t xml:space="preserve">jetons de </w:t>
                  </w:r>
                  <w:r w:rsidR="00F51086" w:rsidRPr="003D56E4">
                    <w:rPr>
                      <w:rFonts w:asciiTheme="majorHAnsi" w:hAnsiTheme="majorHAnsi"/>
                      <w:b/>
                      <w:bCs/>
                      <w:smallCaps/>
                      <w:color w:val="FF0000"/>
                      <w:sz w:val="28"/>
                      <w:szCs w:val="28"/>
                    </w:rPr>
                    <w:t>présence, De</w:t>
                  </w:r>
                  <w:r w:rsidRPr="003D56E4">
                    <w:rPr>
                      <w:rFonts w:asciiTheme="majorHAnsi" w:hAnsiTheme="majorHAnsi"/>
                      <w:b/>
                      <w:bCs/>
                      <w:smallCaps/>
                      <w:color w:val="FF0000"/>
                      <w:sz w:val="28"/>
                      <w:szCs w:val="28"/>
                    </w:rPr>
                    <w:t xml:space="preserve"> la cession (totale  ou partielle) de parts </w:t>
                  </w:r>
                  <w:r w:rsidR="00F51086" w:rsidRPr="003D56E4">
                    <w:rPr>
                      <w:rFonts w:asciiTheme="majorHAnsi" w:hAnsiTheme="majorHAnsi"/>
                      <w:b/>
                      <w:bCs/>
                      <w:smallCaps/>
                      <w:color w:val="FF0000"/>
                      <w:sz w:val="28"/>
                      <w:szCs w:val="28"/>
                    </w:rPr>
                    <w:t>sociales, De</w:t>
                  </w:r>
                  <w:r w:rsidRPr="003D56E4">
                    <w:rPr>
                      <w:rFonts w:asciiTheme="majorHAnsi" w:hAnsiTheme="majorHAnsi"/>
                      <w:b/>
                      <w:bCs/>
                      <w:smallCaps/>
                      <w:color w:val="FF0000"/>
                      <w:sz w:val="28"/>
                      <w:szCs w:val="28"/>
                    </w:rPr>
                    <w:t xml:space="preserve"> la partie transférable des salaires des travailleurs étrange</w:t>
                  </w:r>
                  <w:r w:rsidR="007022DE">
                    <w:rPr>
                      <w:rFonts w:asciiTheme="majorHAnsi" w:hAnsiTheme="majorHAnsi"/>
                      <w:b/>
                      <w:bCs/>
                      <w:smallCaps/>
                      <w:color w:val="FF0000"/>
                      <w:sz w:val="28"/>
                      <w:szCs w:val="28"/>
                    </w:rPr>
                    <w:t>rs</w:t>
                  </w: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0C0591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0C0591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286.1pt;margin-top:8.6pt;width:94.5pt;height:25.5pt;z-index:251660288">
            <v:textbox style="mso-next-textbox:#_x0000_s1026">
              <w:txbxContent>
                <w:p w:rsidR="00F329C1" w:rsidRPr="0086299F" w:rsidRDefault="00F329C1" w:rsidP="00F329C1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86299F">
                    <w:rPr>
                      <w:rFonts w:asciiTheme="majorHAnsi" w:hAnsiTheme="majorHAnsi"/>
                    </w:rPr>
                    <w:t>0</w:t>
                  </w:r>
                  <w:r w:rsidR="003D56E4">
                    <w:rPr>
                      <w:rFonts w:asciiTheme="majorHAnsi" w:hAnsiTheme="majorHAnsi"/>
                    </w:rPr>
                    <w:t>1</w:t>
                  </w:r>
                  <w:r w:rsidR="00C04939">
                    <w:rPr>
                      <w:rFonts w:asciiTheme="majorHAnsi" w:hAnsiTheme="majorHAnsi"/>
                    </w:rPr>
                    <w:t xml:space="preserve"> Jour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B537C" w:rsidRPr="001E357D" w:rsidRDefault="00CB5F89" w:rsidP="00CB5F89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  <w:u w:val="single"/>
        </w:rPr>
      </w:pPr>
      <w:r>
        <w:rPr>
          <w:rFonts w:ascii="HypatiaSansPro-Bold" w:eastAsia="Times New Roman" w:hAnsi="Calibri" w:cs="HypatiaSansPro-Bold"/>
          <w:b/>
          <w:bCs/>
        </w:rPr>
        <w:tab/>
      </w:r>
      <w:r w:rsidR="003B537C" w:rsidRPr="00657DF1">
        <w:rPr>
          <w:rFonts w:ascii="HypatiaSansPro-Bold" w:eastAsia="Times New Roman" w:hAnsi="Calibri" w:cs="HypatiaSansPro-Bold"/>
          <w:b/>
          <w:bCs/>
        </w:rPr>
        <w:t>Ce s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é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minaire traite de l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’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approche g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é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n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é</w:t>
      </w:r>
      <w:r w:rsidR="003B537C" w:rsidRPr="00657DF1">
        <w:rPr>
          <w:rFonts w:ascii="HypatiaSansPro-Bold" w:eastAsia="Times New Roman" w:hAnsi="Calibri" w:cs="HypatiaSansPro-Bold"/>
          <w:b/>
          <w:bCs/>
        </w:rPr>
        <w:t xml:space="preserve">rale 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des conditions et des modalit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é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s de traitement pratique de transfert de fonds au titre</w:t>
      </w:r>
      <w:r w:rsidR="00657DF1" w:rsidRPr="00657DF1">
        <w:rPr>
          <w:rFonts w:asciiTheme="majorHAnsi" w:hAnsiTheme="majorHAnsi"/>
          <w:b/>
          <w:bCs/>
          <w:smallCaps/>
          <w:sz w:val="28"/>
          <w:szCs w:val="28"/>
        </w:rPr>
        <w:t xml:space="preserve"> 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des dividendes, revenus, b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é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n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é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fices, tanti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è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mes, jetons de pr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é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sence, de la cession (totale  ou partielle) de parts sociales, de la partie transf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é</w:t>
      </w:r>
      <w:r w:rsidR="00657DF1" w:rsidRPr="00657DF1">
        <w:rPr>
          <w:rFonts w:ascii="HypatiaSansPro-Bold" w:eastAsia="Times New Roman" w:hAnsi="Calibri" w:cs="HypatiaSansPro-Bold"/>
          <w:b/>
          <w:bCs/>
        </w:rPr>
        <w:t xml:space="preserve">rable des salaires des travailleurs 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é</w:t>
      </w:r>
      <w:r w:rsidR="00657DF1" w:rsidRPr="00657DF1">
        <w:rPr>
          <w:rFonts w:ascii="HypatiaSansPro-Bold" w:eastAsia="Times New Roman" w:hAnsi="Calibri" w:cs="HypatiaSansPro-Bold"/>
          <w:b/>
          <w:bCs/>
        </w:rPr>
        <w:t>trange</w:t>
      </w:r>
      <w:r w:rsidR="007114CB">
        <w:rPr>
          <w:rFonts w:ascii="HypatiaSansPro-Bold" w:eastAsia="Times New Roman" w:hAnsi="Calibri" w:cs="HypatiaSansPro-Bold"/>
          <w:b/>
          <w:bCs/>
        </w:rPr>
        <w:t>rs</w:t>
      </w:r>
      <w:r w:rsidR="00657DF1">
        <w:rPr>
          <w:rFonts w:ascii="HypatiaSansPro-Bold" w:eastAsia="Times New Roman" w:hAnsi="Calibri" w:cs="HypatiaSansPro-Bold"/>
          <w:b/>
          <w:bCs/>
        </w:rPr>
        <w:t>.</w:t>
      </w:r>
    </w:p>
    <w:p w:rsidR="00986084" w:rsidRDefault="00986084" w:rsidP="00986084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</w:p>
    <w:p w:rsidR="00635F86" w:rsidRPr="00BC10F2" w:rsidRDefault="00635F86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 :</w:t>
      </w:r>
    </w:p>
    <w:p w:rsidR="00F329C1" w:rsidRDefault="00657DF1" w:rsidP="00DB1B91">
      <w:pPr>
        <w:pStyle w:val="Paragraphedeliste"/>
        <w:spacing w:after="0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Permettre aux intéressés de mieux maitriser des aspects d’ordre pratique du traitement des conditions requises en matière de transfert de fond au titre des investisseurs étranger</w:t>
      </w:r>
      <w:r w:rsidR="007114CB">
        <w:rPr>
          <w:rFonts w:ascii="Cambria" w:eastAsia="Times New Roman" w:hAnsi="Cambria" w:cs="Times New Roman"/>
          <w:sz w:val="24"/>
          <w:szCs w:val="24"/>
        </w:rPr>
        <w:t>s</w:t>
      </w:r>
      <w:r>
        <w:rPr>
          <w:rFonts w:ascii="Cambria" w:eastAsia="Times New Roman" w:hAnsi="Cambria" w:cs="Times New Roman"/>
          <w:sz w:val="24"/>
          <w:szCs w:val="24"/>
        </w:rPr>
        <w:t xml:space="preserve"> en Algérie.</w:t>
      </w:r>
    </w:p>
    <w:p w:rsidR="00657DF1" w:rsidRPr="00523077" w:rsidRDefault="00657DF1" w:rsidP="00523077">
      <w:pPr>
        <w:pStyle w:val="Paragraphedeliste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C04939" w:rsidRPr="00BC10F2" w:rsidRDefault="00F329C1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C04939" w:rsidRDefault="00C04939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</w:rPr>
        <w:t>Ce séminaire est recommandé aux personnes suivantes :</w:t>
      </w:r>
    </w:p>
    <w:p w:rsidR="003B537C" w:rsidRDefault="00657DF1" w:rsidP="003B537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Personnel exerçant au sein des banques (Agences et Central),</w:t>
      </w:r>
    </w:p>
    <w:p w:rsidR="00657DF1" w:rsidRDefault="00657DF1" w:rsidP="003B537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Responsables des entreprises étrangères installées en Algérie, </w:t>
      </w:r>
    </w:p>
    <w:p w:rsidR="00657DF1" w:rsidRDefault="00657DF1" w:rsidP="003B537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Chambres de commerce algériennes et </w:t>
      </w:r>
      <w:r w:rsidR="007114CB">
        <w:rPr>
          <w:rFonts w:ascii="Cambria" w:eastAsia="Times New Roman" w:hAnsi="Cambria" w:cs="Times New Roman"/>
          <w:sz w:val="24"/>
          <w:szCs w:val="24"/>
        </w:rPr>
        <w:t>étrangères.</w:t>
      </w:r>
    </w:p>
    <w:p w:rsidR="00C04939" w:rsidRPr="00BC10F2" w:rsidRDefault="00C04939" w:rsidP="00C04939">
      <w:pPr>
        <w:pStyle w:val="Paragraphedeliste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C10F2" w:rsidRDefault="00BC10F2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A449F4" w:rsidRPr="00A449F4" w:rsidRDefault="00A449F4" w:rsidP="00A449F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449F4" w:rsidRPr="00A449F4" w:rsidRDefault="00A449F4" w:rsidP="00A449F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Quiz/QCU.</w:t>
      </w:r>
    </w:p>
    <w:p w:rsidR="00BC10F2" w:rsidRDefault="00BC10F2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3131F2" w:rsidRDefault="003131F2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Animateurs</w:t>
      </w:r>
      <w:r w:rsidRPr="00BC10F2">
        <w:rPr>
          <w:rFonts w:asciiTheme="majorHAnsi" w:hAnsiTheme="majorHAnsi"/>
          <w:b/>
          <w:bCs/>
          <w:sz w:val="24"/>
          <w:szCs w:val="24"/>
        </w:rPr>
        <w:t xml:space="preserve"> : </w:t>
      </w:r>
    </w:p>
    <w:p w:rsidR="00657DF1" w:rsidRDefault="00657DF1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>Abdelkrim DENNI</w:t>
      </w:r>
    </w:p>
    <w:p w:rsidR="00657DF1" w:rsidRDefault="00657DF1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 xml:space="preserve">Consultant Formateur </w:t>
      </w:r>
    </w:p>
    <w:p w:rsidR="00657DF1" w:rsidRDefault="00CB5F89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76835</wp:posOffset>
            </wp:positionV>
            <wp:extent cx="1533525" cy="447675"/>
            <wp:effectExtent l="19050" t="0" r="9525" b="0"/>
            <wp:wrapNone/>
            <wp:docPr id="1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F89" w:rsidRDefault="00CB5F89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657DF1" w:rsidRPr="00BC10F2" w:rsidRDefault="00657DF1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B5F89" w:rsidRDefault="00CB5F89" w:rsidP="00E62D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FE6881" w:rsidRDefault="00FE6881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FE6881" w:rsidRDefault="00FE6881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E62D87" w:rsidRDefault="00E62D87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E62D87" w:rsidRPr="00F00672" w:rsidRDefault="00E62D87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FE6881" w:rsidRDefault="00FE6881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3D56E4" w:rsidRDefault="003D56E4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3D56E4" w:rsidRPr="001E357D" w:rsidRDefault="003D56E4" w:rsidP="003D56E4">
      <w:pPr>
        <w:rPr>
          <w:rFonts w:asciiTheme="majorHAnsi" w:hAnsiTheme="majorHAnsi"/>
          <w:b/>
          <w:bCs/>
          <w:i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1E357D" w:rsidRPr="001E357D">
        <w:rPr>
          <w:rFonts w:asciiTheme="majorHAnsi" w:hAnsiTheme="majorHAnsi"/>
          <w:b/>
          <w:bCs/>
          <w:i/>
          <w:sz w:val="24"/>
          <w:szCs w:val="24"/>
          <w:u w:val="single"/>
        </w:rPr>
        <w:t>Préambule</w:t>
      </w:r>
    </w:p>
    <w:p w:rsidR="003D56E4" w:rsidRDefault="00CB5F89" w:rsidP="003D56E4">
      <w:pPr>
        <w:pStyle w:val="Paragraphedeliste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3D56E4">
        <w:rPr>
          <w:rFonts w:asciiTheme="majorHAnsi" w:hAnsiTheme="majorHAnsi"/>
          <w:b/>
          <w:bCs/>
          <w:sz w:val="24"/>
          <w:szCs w:val="24"/>
        </w:rPr>
        <w:t xml:space="preserve"> le cadre légal et réglementaire</w:t>
      </w:r>
    </w:p>
    <w:p w:rsidR="001E357D" w:rsidRDefault="001E357D" w:rsidP="001E357D">
      <w:pPr>
        <w:spacing w:after="0"/>
        <w:rPr>
          <w:rFonts w:asciiTheme="majorHAnsi" w:hAnsiTheme="majorHAnsi"/>
          <w:sz w:val="24"/>
          <w:szCs w:val="24"/>
        </w:rPr>
      </w:pPr>
    </w:p>
    <w:p w:rsidR="001E357D" w:rsidRDefault="001E357D" w:rsidP="001E357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3D56E4" w:rsidRPr="003D56E4">
        <w:rPr>
          <w:rFonts w:asciiTheme="majorHAnsi" w:hAnsiTheme="majorHAnsi"/>
          <w:sz w:val="24"/>
          <w:szCs w:val="24"/>
        </w:rPr>
        <w:t>1.1  Les principaux textes émanant de l’exécutif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Default="001E357D" w:rsidP="003D56E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3D56E4" w:rsidRPr="003D56E4">
        <w:rPr>
          <w:rFonts w:asciiTheme="majorHAnsi" w:hAnsiTheme="majorHAnsi"/>
          <w:sz w:val="24"/>
          <w:szCs w:val="24"/>
        </w:rPr>
        <w:t>1.2  Les principaux textes émanant de la Banque d’Algérie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Default="00CB5F89" w:rsidP="001E357D">
      <w:pPr>
        <w:pStyle w:val="Paragraphedeliste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3D56E4">
        <w:rPr>
          <w:rFonts w:asciiTheme="majorHAnsi" w:hAnsiTheme="majorHAnsi"/>
          <w:b/>
          <w:bCs/>
          <w:sz w:val="24"/>
          <w:szCs w:val="24"/>
        </w:rPr>
        <w:t>les règles applicables aux transferts :</w:t>
      </w:r>
    </w:p>
    <w:p w:rsidR="003D56E4" w:rsidRPr="001E357D" w:rsidRDefault="003D56E4" w:rsidP="001E357D">
      <w:pPr>
        <w:pStyle w:val="Paragraphedeliste"/>
        <w:numPr>
          <w:ilvl w:val="1"/>
          <w:numId w:val="13"/>
        </w:numPr>
        <w:spacing w:after="0"/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Des dividendes, revenus, bénéfices, tantièmes</w:t>
      </w:r>
      <w:r w:rsidR="00F51086">
        <w:rPr>
          <w:rFonts w:asciiTheme="majorHAnsi" w:hAnsiTheme="majorHAnsi"/>
          <w:sz w:val="24"/>
          <w:szCs w:val="24"/>
        </w:rPr>
        <w:t>,</w:t>
      </w:r>
    </w:p>
    <w:p w:rsidR="003D56E4" w:rsidRPr="001E357D" w:rsidRDefault="003D56E4" w:rsidP="001E357D">
      <w:pPr>
        <w:pStyle w:val="Paragraphedeliste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Des jetons de présence</w:t>
      </w:r>
      <w:r w:rsidR="00F51086">
        <w:rPr>
          <w:rFonts w:asciiTheme="majorHAnsi" w:hAnsiTheme="majorHAnsi"/>
          <w:sz w:val="24"/>
          <w:szCs w:val="24"/>
        </w:rPr>
        <w:t>,</w:t>
      </w:r>
    </w:p>
    <w:p w:rsidR="003D56E4" w:rsidRPr="001E357D" w:rsidRDefault="003D56E4" w:rsidP="001E357D">
      <w:pPr>
        <w:pStyle w:val="Paragraphedeliste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De la cession (totale  ou partielle) de parts sociales</w:t>
      </w:r>
      <w:r w:rsidR="00F51086">
        <w:rPr>
          <w:rFonts w:asciiTheme="majorHAnsi" w:hAnsiTheme="majorHAnsi"/>
          <w:sz w:val="24"/>
          <w:szCs w:val="24"/>
        </w:rPr>
        <w:t>,</w:t>
      </w:r>
    </w:p>
    <w:p w:rsidR="003D56E4" w:rsidRPr="001E357D" w:rsidRDefault="001E357D" w:rsidP="001E357D">
      <w:pPr>
        <w:pStyle w:val="Paragraphedeliste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De la partie transférable</w:t>
      </w:r>
      <w:r w:rsidR="00F51086">
        <w:rPr>
          <w:rFonts w:asciiTheme="majorHAnsi" w:hAnsiTheme="majorHAnsi"/>
          <w:sz w:val="24"/>
          <w:szCs w:val="24"/>
        </w:rPr>
        <w:t xml:space="preserve"> </w:t>
      </w:r>
      <w:r w:rsidR="00CB5F89">
        <w:rPr>
          <w:rFonts w:asciiTheme="majorHAnsi" w:hAnsiTheme="majorHAnsi"/>
          <w:sz w:val="24"/>
          <w:szCs w:val="24"/>
        </w:rPr>
        <w:t xml:space="preserve">des salaires </w:t>
      </w:r>
      <w:r w:rsidR="00F51086">
        <w:rPr>
          <w:rFonts w:asciiTheme="majorHAnsi" w:hAnsiTheme="majorHAnsi"/>
          <w:sz w:val="24"/>
          <w:szCs w:val="24"/>
        </w:rPr>
        <w:t>des travailleurs étrangers,</w:t>
      </w:r>
    </w:p>
    <w:p w:rsidR="003D56E4" w:rsidRPr="003D56E4" w:rsidRDefault="003D56E4" w:rsidP="00F51086">
      <w:pPr>
        <w:spacing w:after="120"/>
        <w:ind w:left="743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>2.1  Définitions</w:t>
      </w:r>
    </w:p>
    <w:p w:rsidR="003D56E4" w:rsidRPr="003D56E4" w:rsidRDefault="003D56E4" w:rsidP="003D56E4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>Dividendes,</w:t>
      </w:r>
    </w:p>
    <w:p w:rsidR="003D56E4" w:rsidRPr="003D56E4" w:rsidRDefault="003D56E4" w:rsidP="003D56E4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 xml:space="preserve">Bénéfices, </w:t>
      </w:r>
    </w:p>
    <w:p w:rsidR="003D56E4" w:rsidRPr="003D56E4" w:rsidRDefault="003D56E4" w:rsidP="003D56E4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>Tantièmes</w:t>
      </w:r>
    </w:p>
    <w:p w:rsidR="003D56E4" w:rsidRPr="003D56E4" w:rsidRDefault="001E357D" w:rsidP="00F51086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3D56E4" w:rsidRPr="003D56E4">
        <w:rPr>
          <w:rFonts w:asciiTheme="majorHAnsi" w:hAnsiTheme="majorHAnsi"/>
          <w:sz w:val="24"/>
          <w:szCs w:val="24"/>
        </w:rPr>
        <w:t>2.2  Ce qui n’est pas transférable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Pr="003D56E4" w:rsidRDefault="001E357D" w:rsidP="00F51086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3D56E4" w:rsidRPr="003D56E4">
        <w:rPr>
          <w:rFonts w:asciiTheme="majorHAnsi" w:hAnsiTheme="majorHAnsi"/>
          <w:sz w:val="24"/>
          <w:szCs w:val="24"/>
        </w:rPr>
        <w:t>2.3  Appréciation de l’effort d’investissements significatifs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Pr="001E357D" w:rsidRDefault="001E357D" w:rsidP="00F51086">
      <w:pPr>
        <w:spacing w:after="12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3</w:t>
      </w:r>
      <w:r w:rsidR="003D56E4" w:rsidRPr="001E357D">
        <w:rPr>
          <w:rFonts w:asciiTheme="majorHAnsi" w:hAnsiTheme="majorHAnsi"/>
          <w:b/>
          <w:bCs/>
          <w:sz w:val="24"/>
          <w:szCs w:val="24"/>
        </w:rPr>
        <w:t>-</w:t>
      </w:r>
      <w:r w:rsidR="00CB5F89" w:rsidRPr="001E357D">
        <w:rPr>
          <w:rFonts w:asciiTheme="majorHAnsi" w:hAnsiTheme="majorHAnsi"/>
          <w:b/>
          <w:bCs/>
          <w:sz w:val="24"/>
          <w:szCs w:val="24"/>
        </w:rPr>
        <w:t>le processus d’ordre pratique du transfert de fonds</w:t>
      </w:r>
    </w:p>
    <w:p w:rsidR="003D56E4" w:rsidRPr="003D56E4" w:rsidRDefault="003D56E4" w:rsidP="00F51086">
      <w:pPr>
        <w:spacing w:after="120"/>
        <w:ind w:left="709" w:hanging="1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 xml:space="preserve">  3.1  Les intervenants</w:t>
      </w:r>
    </w:p>
    <w:p w:rsidR="003D56E4" w:rsidRPr="003D56E4" w:rsidRDefault="003D56E4" w:rsidP="00F51086">
      <w:pPr>
        <w:pStyle w:val="Paragraphedeliste"/>
        <w:numPr>
          <w:ilvl w:val="0"/>
          <w:numId w:val="9"/>
        </w:num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>Le Commissaire aux comptes,</w:t>
      </w:r>
    </w:p>
    <w:p w:rsidR="003D56E4" w:rsidRPr="003D56E4" w:rsidRDefault="003D56E4" w:rsidP="00F51086">
      <w:pPr>
        <w:pStyle w:val="Paragraphedeliste"/>
        <w:numPr>
          <w:ilvl w:val="0"/>
          <w:numId w:val="9"/>
        </w:num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 xml:space="preserve">L’entreprise concernée, </w:t>
      </w:r>
    </w:p>
    <w:p w:rsidR="003D56E4" w:rsidRPr="003D56E4" w:rsidRDefault="003D56E4" w:rsidP="00F51086">
      <w:pPr>
        <w:pStyle w:val="Paragraphedeliste"/>
        <w:numPr>
          <w:ilvl w:val="0"/>
          <w:numId w:val="9"/>
        </w:num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>La banque domiciliataire</w:t>
      </w:r>
      <w:r w:rsidR="00F51086">
        <w:rPr>
          <w:rFonts w:asciiTheme="majorHAnsi" w:hAnsiTheme="majorHAnsi"/>
          <w:sz w:val="24"/>
          <w:szCs w:val="24"/>
        </w:rPr>
        <w:t>,</w:t>
      </w:r>
    </w:p>
    <w:p w:rsidR="003D56E4" w:rsidRPr="003D56E4" w:rsidRDefault="003D56E4" w:rsidP="00F51086">
      <w:pPr>
        <w:pStyle w:val="Paragraphedeliste"/>
        <w:numPr>
          <w:ilvl w:val="0"/>
          <w:numId w:val="9"/>
        </w:num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>Le tribunal du lieu du siège social de l’entreprise concernée (le cas échéant)</w:t>
      </w:r>
      <w:r w:rsidR="00F51086">
        <w:rPr>
          <w:rFonts w:asciiTheme="majorHAnsi" w:hAnsiTheme="majorHAnsi"/>
          <w:sz w:val="24"/>
          <w:szCs w:val="24"/>
        </w:rPr>
        <w:t>,</w:t>
      </w:r>
    </w:p>
    <w:p w:rsidR="003D56E4" w:rsidRPr="003D56E4" w:rsidRDefault="003D56E4" w:rsidP="00F51086">
      <w:pPr>
        <w:pStyle w:val="Paragraphedeliste"/>
        <w:numPr>
          <w:ilvl w:val="0"/>
          <w:numId w:val="9"/>
        </w:num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>La Banque d’Algérie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Pr="003D56E4" w:rsidRDefault="001E357D" w:rsidP="00F51086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3D56E4" w:rsidRPr="003D56E4">
        <w:rPr>
          <w:rFonts w:asciiTheme="majorHAnsi" w:hAnsiTheme="majorHAnsi"/>
          <w:sz w:val="24"/>
          <w:szCs w:val="24"/>
        </w:rPr>
        <w:t>3.2  Modalités pratiques du traitement des demandes de transfert de fonds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Pr="003D56E4" w:rsidRDefault="001E357D" w:rsidP="00F51086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3D56E4" w:rsidRPr="003D56E4">
        <w:rPr>
          <w:rFonts w:asciiTheme="majorHAnsi" w:hAnsiTheme="majorHAnsi"/>
          <w:sz w:val="24"/>
          <w:szCs w:val="24"/>
        </w:rPr>
        <w:t>3.3  Formalisation du dossier de transfert de fonds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Pr="003D56E4" w:rsidRDefault="003D56E4" w:rsidP="00F51086">
      <w:p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ab/>
        <w:t>3.3.1 Dividendes, bénéfices, tantièmes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Pr="003D56E4" w:rsidRDefault="003D56E4" w:rsidP="00F51086">
      <w:p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ab/>
        <w:t>3.3.2  Jetons de présence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3D56E4" w:rsidRPr="003D56E4" w:rsidRDefault="003D56E4" w:rsidP="001E357D">
      <w:p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ab/>
        <w:t>3.3.3  Produits de la cession (totale ou partielle) ou de la liquidation de l’investissement</w:t>
      </w:r>
    </w:p>
    <w:p w:rsidR="001E357D" w:rsidRPr="003D56E4" w:rsidRDefault="003D56E4" w:rsidP="00F51086">
      <w:pPr>
        <w:spacing w:after="120"/>
        <w:rPr>
          <w:rFonts w:asciiTheme="majorHAnsi" w:hAnsiTheme="majorHAnsi"/>
          <w:sz w:val="24"/>
          <w:szCs w:val="24"/>
        </w:rPr>
      </w:pPr>
      <w:r w:rsidRPr="003D56E4">
        <w:rPr>
          <w:rFonts w:asciiTheme="majorHAnsi" w:hAnsiTheme="majorHAnsi"/>
          <w:sz w:val="24"/>
          <w:szCs w:val="24"/>
        </w:rPr>
        <w:tab/>
        <w:t>3.3.4  De la partie transférable des salaires des travailleurs étrangers</w:t>
      </w:r>
    </w:p>
    <w:p w:rsidR="003D56E4" w:rsidRPr="001E357D" w:rsidRDefault="003D56E4" w:rsidP="001E357D">
      <w:pPr>
        <w:pStyle w:val="Paragraphedeliste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Conditions d’entrée, de séjour et de circulation des étrangers en Algérie</w:t>
      </w:r>
      <w:r w:rsidR="00F51086">
        <w:rPr>
          <w:rFonts w:asciiTheme="majorHAnsi" w:hAnsiTheme="majorHAnsi"/>
          <w:sz w:val="24"/>
          <w:szCs w:val="24"/>
        </w:rPr>
        <w:t>,</w:t>
      </w:r>
    </w:p>
    <w:p w:rsidR="003D56E4" w:rsidRPr="001E357D" w:rsidRDefault="003D56E4" w:rsidP="001E357D">
      <w:pPr>
        <w:pStyle w:val="Paragraphedeliste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Les travailleurs concernés</w:t>
      </w:r>
      <w:r w:rsidR="00F51086">
        <w:rPr>
          <w:rFonts w:asciiTheme="majorHAnsi" w:hAnsiTheme="majorHAnsi"/>
          <w:sz w:val="24"/>
          <w:szCs w:val="24"/>
        </w:rPr>
        <w:t>,</w:t>
      </w:r>
    </w:p>
    <w:p w:rsidR="003D56E4" w:rsidRPr="001E357D" w:rsidRDefault="003D56E4" w:rsidP="001E357D">
      <w:pPr>
        <w:pStyle w:val="Paragraphedeliste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Le contrat de travail, le salaire et sa décomposition</w:t>
      </w:r>
      <w:r w:rsidR="00F51086">
        <w:rPr>
          <w:rFonts w:asciiTheme="majorHAnsi" w:hAnsiTheme="majorHAnsi"/>
          <w:sz w:val="24"/>
          <w:szCs w:val="24"/>
        </w:rPr>
        <w:t>,.</w:t>
      </w:r>
    </w:p>
    <w:p w:rsidR="003D56E4" w:rsidRPr="001E357D" w:rsidRDefault="003D56E4" w:rsidP="001E357D">
      <w:pPr>
        <w:pStyle w:val="Paragraphedeliste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Formalités que doit accomplir le travailleur étranger</w:t>
      </w:r>
      <w:r w:rsidR="00F51086">
        <w:rPr>
          <w:rFonts w:asciiTheme="majorHAnsi" w:hAnsiTheme="majorHAnsi"/>
          <w:sz w:val="24"/>
          <w:szCs w:val="24"/>
        </w:rPr>
        <w:t>,</w:t>
      </w:r>
    </w:p>
    <w:p w:rsidR="003D56E4" w:rsidRPr="001E357D" w:rsidRDefault="003D56E4" w:rsidP="001E357D">
      <w:pPr>
        <w:pStyle w:val="Paragraphedeliste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1E357D">
        <w:rPr>
          <w:rFonts w:asciiTheme="majorHAnsi" w:hAnsiTheme="majorHAnsi"/>
          <w:sz w:val="24"/>
          <w:szCs w:val="24"/>
        </w:rPr>
        <w:t>Les pièces constitutives du dossier de transfert de fonds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CB5F89" w:rsidRDefault="001E357D" w:rsidP="00CB5F8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</w:p>
    <w:p w:rsidR="00CB5F89" w:rsidRDefault="00CB5F89" w:rsidP="00CB5F89">
      <w:pPr>
        <w:spacing w:after="0"/>
        <w:rPr>
          <w:rFonts w:asciiTheme="majorHAnsi" w:hAnsiTheme="majorHAnsi"/>
          <w:sz w:val="24"/>
          <w:szCs w:val="24"/>
        </w:rPr>
      </w:pPr>
    </w:p>
    <w:p w:rsidR="003D56E4" w:rsidRPr="003D56E4" w:rsidRDefault="001E357D" w:rsidP="00CB5F8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3D56E4" w:rsidRPr="003D56E4">
        <w:rPr>
          <w:rFonts w:asciiTheme="majorHAnsi" w:hAnsiTheme="majorHAnsi"/>
          <w:sz w:val="24"/>
          <w:szCs w:val="24"/>
        </w:rPr>
        <w:t>3.4  Le cas particulier des ressortissants de nationalité française résidants</w:t>
      </w:r>
      <w:r w:rsidR="00CB5F89">
        <w:rPr>
          <w:rFonts w:asciiTheme="majorHAnsi" w:hAnsiTheme="majorHAnsi"/>
          <w:sz w:val="24"/>
          <w:szCs w:val="24"/>
        </w:rPr>
        <w:t xml:space="preserve"> et </w:t>
      </w:r>
      <w:r w:rsidR="00CB5F89" w:rsidRPr="003D56E4">
        <w:rPr>
          <w:rFonts w:asciiTheme="majorHAnsi" w:hAnsiTheme="majorHAnsi"/>
          <w:sz w:val="24"/>
          <w:szCs w:val="24"/>
        </w:rPr>
        <w:t xml:space="preserve">exerçant </w:t>
      </w:r>
      <w:r w:rsidR="003D56E4" w:rsidRPr="003D56E4">
        <w:rPr>
          <w:rFonts w:asciiTheme="majorHAnsi" w:hAnsiTheme="majorHAnsi"/>
          <w:sz w:val="24"/>
          <w:szCs w:val="24"/>
        </w:rPr>
        <w:t>une activité non salariée en Algérie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572B5D" w:rsidRPr="003D56E4" w:rsidRDefault="001E357D" w:rsidP="00F51086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r w:rsidR="003D56E4" w:rsidRPr="003D56E4">
        <w:rPr>
          <w:rFonts w:asciiTheme="majorHAnsi" w:hAnsiTheme="majorHAnsi"/>
          <w:sz w:val="24"/>
          <w:szCs w:val="24"/>
        </w:rPr>
        <w:t>3.5  Bref rappel des modalités pratiques d’</w:t>
      </w:r>
      <w:r>
        <w:rPr>
          <w:rFonts w:asciiTheme="majorHAnsi" w:hAnsiTheme="majorHAnsi"/>
          <w:sz w:val="24"/>
          <w:szCs w:val="24"/>
        </w:rPr>
        <w:t>établissement des déclarations p</w:t>
      </w:r>
      <w:r w:rsidR="003D56E4" w:rsidRPr="003D56E4">
        <w:rPr>
          <w:rFonts w:asciiTheme="majorHAnsi" w:hAnsiTheme="majorHAnsi"/>
          <w:sz w:val="24"/>
          <w:szCs w:val="24"/>
        </w:rPr>
        <w:t>révues par l’Instruction N°09-05 du 28 août 2005 de la Banque d’Algérie</w:t>
      </w:r>
      <w:r w:rsidR="00F51086">
        <w:rPr>
          <w:rFonts w:asciiTheme="majorHAnsi" w:hAnsiTheme="majorHAnsi"/>
          <w:sz w:val="24"/>
          <w:szCs w:val="24"/>
        </w:rPr>
        <w:t>.</w:t>
      </w:r>
    </w:p>
    <w:p w:rsidR="00F230DD" w:rsidRPr="001E357D" w:rsidRDefault="00F230DD" w:rsidP="001E357D">
      <w:pPr>
        <w:pStyle w:val="Paragraphedeliste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E357D">
        <w:rPr>
          <w:rFonts w:asciiTheme="majorHAnsi" w:hAnsiTheme="majorHAnsi"/>
          <w:b/>
          <w:bCs/>
          <w:sz w:val="24"/>
          <w:szCs w:val="24"/>
        </w:rPr>
        <w:t>Synthèse et conclusion</w:t>
      </w:r>
    </w:p>
    <w:p w:rsidR="00F230DD" w:rsidRPr="00026D72" w:rsidRDefault="00F230DD" w:rsidP="00F230DD">
      <w:pPr>
        <w:pStyle w:val="Paragraphedeliste"/>
        <w:numPr>
          <w:ilvl w:val="0"/>
          <w:numId w:val="3"/>
        </w:numPr>
        <w:spacing w:before="60" w:after="0" w:line="240" w:lineRule="auto"/>
        <w:ind w:left="1276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26D72">
        <w:rPr>
          <w:rFonts w:asciiTheme="majorHAnsi" w:hAnsiTheme="majorHAnsi"/>
          <w:sz w:val="24"/>
          <w:szCs w:val="24"/>
        </w:rPr>
        <w:lastRenderedPageBreak/>
        <w:t>Synthèse.</w:t>
      </w:r>
    </w:p>
    <w:p w:rsidR="00F230DD" w:rsidRPr="00026D72" w:rsidRDefault="00F230DD" w:rsidP="00F230DD">
      <w:pPr>
        <w:pStyle w:val="Paragraphedeliste"/>
        <w:numPr>
          <w:ilvl w:val="0"/>
          <w:numId w:val="3"/>
        </w:numPr>
        <w:spacing w:before="60" w:after="0" w:line="240" w:lineRule="auto"/>
        <w:ind w:left="1276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26D72">
        <w:rPr>
          <w:rFonts w:asciiTheme="majorHAnsi" w:hAnsiTheme="majorHAnsi"/>
          <w:sz w:val="24"/>
          <w:szCs w:val="24"/>
        </w:rPr>
        <w:t>Quiz et correction orale.</w:t>
      </w:r>
    </w:p>
    <w:p w:rsidR="00F230DD" w:rsidRDefault="00F230DD" w:rsidP="00F230DD">
      <w:pPr>
        <w:pStyle w:val="Paragraphedeliste"/>
        <w:numPr>
          <w:ilvl w:val="0"/>
          <w:numId w:val="3"/>
        </w:numPr>
        <w:spacing w:before="60" w:after="0" w:line="240" w:lineRule="auto"/>
        <w:ind w:left="1276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26D72">
        <w:rPr>
          <w:rFonts w:asciiTheme="majorHAnsi" w:hAnsiTheme="majorHAnsi"/>
          <w:sz w:val="24"/>
          <w:szCs w:val="24"/>
        </w:rPr>
        <w:t>Évaluation de la formation.</w:t>
      </w:r>
    </w:p>
    <w:sectPr w:rsidR="00F230DD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1C" w:rsidRDefault="00210E1C" w:rsidP="00DC4419">
      <w:pPr>
        <w:spacing w:after="0" w:line="240" w:lineRule="auto"/>
      </w:pPr>
      <w:r>
        <w:separator/>
      </w:r>
    </w:p>
  </w:endnote>
  <w:endnote w:type="continuationSeparator" w:id="1">
    <w:p w:rsidR="00210E1C" w:rsidRDefault="00210E1C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1C" w:rsidRDefault="00210E1C" w:rsidP="00DC4419">
      <w:pPr>
        <w:spacing w:after="0" w:line="240" w:lineRule="auto"/>
      </w:pPr>
      <w:r>
        <w:separator/>
      </w:r>
    </w:p>
  </w:footnote>
  <w:footnote w:type="continuationSeparator" w:id="1">
    <w:p w:rsidR="00210E1C" w:rsidRDefault="00210E1C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5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6409E"/>
    <w:multiLevelType w:val="hybridMultilevel"/>
    <w:tmpl w:val="49D4A0CC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D72"/>
    <w:rsid w:val="0004038C"/>
    <w:rsid w:val="000623B5"/>
    <w:rsid w:val="00066C42"/>
    <w:rsid w:val="000704AB"/>
    <w:rsid w:val="00072A33"/>
    <w:rsid w:val="00082CBC"/>
    <w:rsid w:val="00095F6F"/>
    <w:rsid w:val="000C0591"/>
    <w:rsid w:val="000D40DC"/>
    <w:rsid w:val="000E7FC4"/>
    <w:rsid w:val="000F64C2"/>
    <w:rsid w:val="00114209"/>
    <w:rsid w:val="00120237"/>
    <w:rsid w:val="0014462C"/>
    <w:rsid w:val="00147FF1"/>
    <w:rsid w:val="00192203"/>
    <w:rsid w:val="00195A85"/>
    <w:rsid w:val="001D3F6F"/>
    <w:rsid w:val="001E19A1"/>
    <w:rsid w:val="001E357D"/>
    <w:rsid w:val="00210E1C"/>
    <w:rsid w:val="002218A2"/>
    <w:rsid w:val="002241E5"/>
    <w:rsid w:val="00230DE1"/>
    <w:rsid w:val="002551E6"/>
    <w:rsid w:val="00263FFE"/>
    <w:rsid w:val="00265626"/>
    <w:rsid w:val="00266D8C"/>
    <w:rsid w:val="00274222"/>
    <w:rsid w:val="00282459"/>
    <w:rsid w:val="00284E84"/>
    <w:rsid w:val="002B6064"/>
    <w:rsid w:val="002F4F25"/>
    <w:rsid w:val="00302D6A"/>
    <w:rsid w:val="003131F2"/>
    <w:rsid w:val="0033228A"/>
    <w:rsid w:val="00356BFD"/>
    <w:rsid w:val="00374D9A"/>
    <w:rsid w:val="0038658F"/>
    <w:rsid w:val="00396ED0"/>
    <w:rsid w:val="003B0ECF"/>
    <w:rsid w:val="003B537C"/>
    <w:rsid w:val="003D56E4"/>
    <w:rsid w:val="003F51F9"/>
    <w:rsid w:val="003F64E0"/>
    <w:rsid w:val="004305E8"/>
    <w:rsid w:val="00432540"/>
    <w:rsid w:val="00452C5D"/>
    <w:rsid w:val="00472617"/>
    <w:rsid w:val="00476A4B"/>
    <w:rsid w:val="004778F8"/>
    <w:rsid w:val="00487145"/>
    <w:rsid w:val="004951EE"/>
    <w:rsid w:val="004E1C4C"/>
    <w:rsid w:val="004E1EDB"/>
    <w:rsid w:val="004E5072"/>
    <w:rsid w:val="004E7F7C"/>
    <w:rsid w:val="00516E9D"/>
    <w:rsid w:val="00523077"/>
    <w:rsid w:val="00537628"/>
    <w:rsid w:val="00560977"/>
    <w:rsid w:val="00561F27"/>
    <w:rsid w:val="00572B5D"/>
    <w:rsid w:val="005A1BFA"/>
    <w:rsid w:val="005A7493"/>
    <w:rsid w:val="005B77FE"/>
    <w:rsid w:val="00612F2F"/>
    <w:rsid w:val="00632D83"/>
    <w:rsid w:val="00635F86"/>
    <w:rsid w:val="00646AD0"/>
    <w:rsid w:val="00651214"/>
    <w:rsid w:val="00657DF1"/>
    <w:rsid w:val="006849C1"/>
    <w:rsid w:val="00695E44"/>
    <w:rsid w:val="006B2B74"/>
    <w:rsid w:val="006C189A"/>
    <w:rsid w:val="006D2219"/>
    <w:rsid w:val="006E5B43"/>
    <w:rsid w:val="006F79F3"/>
    <w:rsid w:val="007022DE"/>
    <w:rsid w:val="007114CB"/>
    <w:rsid w:val="00751309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304D5"/>
    <w:rsid w:val="0086535A"/>
    <w:rsid w:val="008917A0"/>
    <w:rsid w:val="00893E2A"/>
    <w:rsid w:val="008C7277"/>
    <w:rsid w:val="009035C0"/>
    <w:rsid w:val="00904170"/>
    <w:rsid w:val="00920338"/>
    <w:rsid w:val="00952C6B"/>
    <w:rsid w:val="00986084"/>
    <w:rsid w:val="009A0187"/>
    <w:rsid w:val="009A47CA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84909"/>
    <w:rsid w:val="00A96EE1"/>
    <w:rsid w:val="00AB41E9"/>
    <w:rsid w:val="00AC13A4"/>
    <w:rsid w:val="00AC2E8F"/>
    <w:rsid w:val="00AD3700"/>
    <w:rsid w:val="00B06534"/>
    <w:rsid w:val="00B446DA"/>
    <w:rsid w:val="00B74252"/>
    <w:rsid w:val="00B832BA"/>
    <w:rsid w:val="00BA65DF"/>
    <w:rsid w:val="00BC10F2"/>
    <w:rsid w:val="00BC1B0C"/>
    <w:rsid w:val="00BD148E"/>
    <w:rsid w:val="00BD4002"/>
    <w:rsid w:val="00BD5E3F"/>
    <w:rsid w:val="00BE37E0"/>
    <w:rsid w:val="00BE43FC"/>
    <w:rsid w:val="00BE49C4"/>
    <w:rsid w:val="00BE6494"/>
    <w:rsid w:val="00C04939"/>
    <w:rsid w:val="00C166A5"/>
    <w:rsid w:val="00C235FB"/>
    <w:rsid w:val="00C2544F"/>
    <w:rsid w:val="00C27016"/>
    <w:rsid w:val="00C31501"/>
    <w:rsid w:val="00C7313F"/>
    <w:rsid w:val="00C84E77"/>
    <w:rsid w:val="00C97746"/>
    <w:rsid w:val="00CB5F89"/>
    <w:rsid w:val="00CC1E56"/>
    <w:rsid w:val="00CC1F21"/>
    <w:rsid w:val="00CE15B6"/>
    <w:rsid w:val="00CE3729"/>
    <w:rsid w:val="00D00AB4"/>
    <w:rsid w:val="00D216A5"/>
    <w:rsid w:val="00D243AE"/>
    <w:rsid w:val="00D42560"/>
    <w:rsid w:val="00D5049C"/>
    <w:rsid w:val="00D71F4D"/>
    <w:rsid w:val="00D85B2C"/>
    <w:rsid w:val="00D95D70"/>
    <w:rsid w:val="00DA2137"/>
    <w:rsid w:val="00DA6F8B"/>
    <w:rsid w:val="00DB1B91"/>
    <w:rsid w:val="00DC22F6"/>
    <w:rsid w:val="00DC4419"/>
    <w:rsid w:val="00DD20DE"/>
    <w:rsid w:val="00E62D87"/>
    <w:rsid w:val="00E83D98"/>
    <w:rsid w:val="00EB706C"/>
    <w:rsid w:val="00ED0B1C"/>
    <w:rsid w:val="00ED2FC9"/>
    <w:rsid w:val="00F124A4"/>
    <w:rsid w:val="00F17F9F"/>
    <w:rsid w:val="00F230DD"/>
    <w:rsid w:val="00F329C1"/>
    <w:rsid w:val="00F51086"/>
    <w:rsid w:val="00F51CC9"/>
    <w:rsid w:val="00FC1BFB"/>
    <w:rsid w:val="00FD7AF8"/>
    <w:rsid w:val="00FE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4850F-21C6-4CB2-B093-621C2D7D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2016-10-23T09:06:00Z</cp:lastPrinted>
  <dcterms:created xsi:type="dcterms:W3CDTF">2018-10-25T17:15:00Z</dcterms:created>
  <dcterms:modified xsi:type="dcterms:W3CDTF">2018-10-25T17:15:00Z</dcterms:modified>
</cp:coreProperties>
</file>